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1CEF" w14:textId="550CB84A" w:rsidR="00B10733" w:rsidRPr="00D6738E" w:rsidRDefault="00AE07F2" w:rsidP="10E5096F">
      <w:pPr>
        <w:pStyle w:val="NoSpacing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D6738E">
        <w:rPr>
          <w:rFonts w:ascii="Arial" w:hAnsi="Arial" w:cs="Arial"/>
          <w:b/>
          <w:bCs/>
          <w:sz w:val="36"/>
          <w:szCs w:val="36"/>
        </w:rPr>
        <w:t>NATIONAL SELF-DIRECTED SUPPORT</w:t>
      </w:r>
      <w:r w:rsidR="10E5096F" w:rsidRPr="00D6738E">
        <w:rPr>
          <w:rFonts w:ascii="Arial" w:hAnsi="Arial" w:cs="Arial"/>
          <w:b/>
          <w:bCs/>
          <w:sz w:val="36"/>
          <w:szCs w:val="36"/>
        </w:rPr>
        <w:t xml:space="preserve"> </w:t>
      </w:r>
      <w:r w:rsidRPr="00D6738E">
        <w:rPr>
          <w:rFonts w:ascii="Arial" w:hAnsi="Arial" w:cs="Arial"/>
          <w:b/>
          <w:bCs/>
          <w:sz w:val="36"/>
          <w:szCs w:val="36"/>
        </w:rPr>
        <w:t>COLLABORATION</w:t>
      </w:r>
    </w:p>
    <w:p w14:paraId="776E4BAD" w14:textId="188F260E" w:rsidR="00B10733" w:rsidRPr="00D6738E" w:rsidRDefault="00B10733" w:rsidP="10E5096F">
      <w:pPr>
        <w:pStyle w:val="NoSpacing"/>
        <w:spacing w:line="276" w:lineRule="auto"/>
        <w:rPr>
          <w:rFonts w:ascii="Arial" w:hAnsi="Arial" w:cs="Arial"/>
          <w:b/>
          <w:bCs/>
          <w:sz w:val="36"/>
          <w:szCs w:val="36"/>
        </w:rPr>
      </w:pPr>
    </w:p>
    <w:p w14:paraId="1271A1C6" w14:textId="1F0D6FB4" w:rsidR="00477FDF" w:rsidRPr="00D6738E" w:rsidRDefault="00B10733" w:rsidP="10E5096F">
      <w:pPr>
        <w:pStyle w:val="NoSpacing"/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D6738E">
        <w:rPr>
          <w:rFonts w:ascii="Arial" w:hAnsi="Arial" w:cs="Arial"/>
          <w:b/>
          <w:bCs/>
          <w:sz w:val="32"/>
          <w:szCs w:val="32"/>
        </w:rPr>
        <w:t xml:space="preserve">NOTE OF </w:t>
      </w:r>
      <w:r w:rsidR="00C55854" w:rsidRPr="00D6738E">
        <w:rPr>
          <w:rFonts w:ascii="Arial" w:hAnsi="Arial" w:cs="Arial"/>
          <w:b/>
          <w:bCs/>
          <w:sz w:val="32"/>
          <w:szCs w:val="32"/>
        </w:rPr>
        <w:t>MEETING</w:t>
      </w:r>
      <w:r w:rsidR="00DD245F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3E37F1">
        <w:rPr>
          <w:rFonts w:ascii="Arial" w:hAnsi="Arial" w:cs="Arial"/>
          <w:b/>
          <w:bCs/>
          <w:sz w:val="32"/>
          <w:szCs w:val="32"/>
        </w:rPr>
        <w:t>15</w:t>
      </w:r>
      <w:r w:rsidR="003E37F1" w:rsidRPr="003E37F1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  <w:r w:rsidR="003E37F1">
        <w:rPr>
          <w:rFonts w:ascii="Arial" w:hAnsi="Arial" w:cs="Arial"/>
          <w:b/>
          <w:bCs/>
          <w:sz w:val="32"/>
          <w:szCs w:val="32"/>
        </w:rPr>
        <w:t xml:space="preserve"> JANUARY 2025</w:t>
      </w:r>
    </w:p>
    <w:p w14:paraId="5CDE7B52" w14:textId="4BA832A0" w:rsidR="00477FDF" w:rsidRPr="00D6738E" w:rsidRDefault="00477FDF" w:rsidP="002D0D63">
      <w:pPr>
        <w:pStyle w:val="NoSpacing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3682D4E0" w14:textId="28C438AD" w:rsidR="00477FDF" w:rsidRPr="00D6738E" w:rsidRDefault="00113B47" w:rsidP="002D0D63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 w:rsidRPr="00D6738E">
        <w:rPr>
          <w:rFonts w:ascii="Arial" w:eastAsia="Arial" w:hAnsi="Arial" w:cs="Arial"/>
          <w:b/>
          <w:bCs/>
          <w:sz w:val="24"/>
          <w:szCs w:val="24"/>
        </w:rPr>
        <w:t>In</w:t>
      </w:r>
      <w:r w:rsidR="0001028A" w:rsidRPr="00D6738E">
        <w:rPr>
          <w:rFonts w:ascii="Arial" w:eastAsia="Arial" w:hAnsi="Arial" w:cs="Arial"/>
          <w:b/>
          <w:bCs/>
          <w:sz w:val="24"/>
          <w:szCs w:val="24"/>
        </w:rPr>
        <w:t xml:space="preserve"> attendance by video conference:</w:t>
      </w:r>
    </w:p>
    <w:tbl>
      <w:tblPr>
        <w:tblW w:w="138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28"/>
        <w:gridCol w:w="4111"/>
      </w:tblGrid>
      <w:tr w:rsidR="00CA66CD" w:rsidRPr="00D6738E" w14:paraId="42EA4112" w14:textId="3E1174E3" w:rsidTr="00F65A46">
        <w:tc>
          <w:tcPr>
            <w:tcW w:w="4248" w:type="dxa"/>
            <w:vAlign w:val="center"/>
          </w:tcPr>
          <w:p w14:paraId="542D664C" w14:textId="26C51BA5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Donald Macleod (SDS Scotland) (chair)</w:t>
            </w:r>
          </w:p>
        </w:tc>
        <w:tc>
          <w:tcPr>
            <w:tcW w:w="5528" w:type="dxa"/>
            <w:vAlign w:val="bottom"/>
          </w:tcPr>
          <w:p w14:paraId="6CBA520A" w14:textId="1DE3D3C5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Brett Rogers</w:t>
            </w:r>
            <w:r w:rsidR="00021EBA">
              <w:rPr>
                <w:rFonts w:ascii="Aptos Narrow" w:hAnsi="Aptos Narrow"/>
                <w:color w:val="000000"/>
              </w:rPr>
              <w:t xml:space="preserve"> (</w:t>
            </w:r>
            <w:r w:rsidR="006A49EA">
              <w:rPr>
                <w:rFonts w:ascii="Aptos Narrow" w:hAnsi="Aptos Narrow"/>
                <w:color w:val="000000"/>
              </w:rPr>
              <w:t>In Control Scotland)</w:t>
            </w:r>
          </w:p>
        </w:tc>
        <w:tc>
          <w:tcPr>
            <w:tcW w:w="4111" w:type="dxa"/>
            <w:vAlign w:val="bottom"/>
          </w:tcPr>
          <w:p w14:paraId="3EBDEDB3" w14:textId="1613824F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Jaynie Mitchell</w:t>
            </w:r>
            <w:r w:rsidR="006A49EA">
              <w:rPr>
                <w:rFonts w:ascii="Aptos Narrow" w:hAnsi="Aptos Narrow"/>
                <w:color w:val="000000"/>
              </w:rPr>
              <w:t xml:space="preserve"> (</w:t>
            </w:r>
            <w:r w:rsidR="00487ED6">
              <w:rPr>
                <w:rFonts w:ascii="Aptos Narrow" w:hAnsi="Aptos Narrow"/>
                <w:color w:val="000000"/>
              </w:rPr>
              <w:t>Coalition of Carers)</w:t>
            </w:r>
          </w:p>
        </w:tc>
      </w:tr>
      <w:tr w:rsidR="00CA66CD" w:rsidRPr="00D6738E" w14:paraId="6C7E08D6" w14:textId="1754BF93" w:rsidTr="00F65A46">
        <w:tc>
          <w:tcPr>
            <w:tcW w:w="4248" w:type="dxa"/>
            <w:vAlign w:val="bottom"/>
          </w:tcPr>
          <w:p w14:paraId="2FCF17B2" w14:textId="2E4B1D87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Kayleigh Hirst (SDS Scotland)</w:t>
            </w:r>
          </w:p>
        </w:tc>
        <w:tc>
          <w:tcPr>
            <w:tcW w:w="5528" w:type="dxa"/>
            <w:vAlign w:val="bottom"/>
          </w:tcPr>
          <w:p w14:paraId="36CCDE6F" w14:textId="39B7BC2F" w:rsidR="00CA66CD" w:rsidRPr="00D6738E" w:rsidRDefault="00617717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Debbie Lamont (SDS Forum East Renfrewshire)</w:t>
            </w:r>
          </w:p>
        </w:tc>
        <w:tc>
          <w:tcPr>
            <w:tcW w:w="4111" w:type="dxa"/>
            <w:vAlign w:val="bottom"/>
          </w:tcPr>
          <w:p w14:paraId="2946322F" w14:textId="58BB2DB1" w:rsidR="00CA66CD" w:rsidRPr="00D6738E" w:rsidRDefault="00617717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Elspeth Critchley (Encompass Borders)</w:t>
            </w:r>
          </w:p>
        </w:tc>
      </w:tr>
      <w:tr w:rsidR="00CA66CD" w:rsidRPr="00D6738E" w14:paraId="4530D1E3" w14:textId="05000F5E" w:rsidTr="00F65A46">
        <w:tc>
          <w:tcPr>
            <w:tcW w:w="4248" w:type="dxa"/>
            <w:vAlign w:val="bottom"/>
          </w:tcPr>
          <w:p w14:paraId="3A25E2A4" w14:textId="77604865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Pauline Lunn</w:t>
            </w:r>
            <w:r w:rsidR="00617717">
              <w:rPr>
                <w:rFonts w:ascii="Aptos Narrow" w:hAnsi="Aptos Narrow"/>
                <w:color w:val="000000"/>
              </w:rPr>
              <w:t xml:space="preserve"> (In Control Scotland)</w:t>
            </w:r>
          </w:p>
        </w:tc>
        <w:tc>
          <w:tcPr>
            <w:tcW w:w="5528" w:type="dxa"/>
            <w:vAlign w:val="bottom"/>
          </w:tcPr>
          <w:p w14:paraId="5A7492CE" w14:textId="493A18A7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Laura Hendry</w:t>
            </w:r>
            <w:r w:rsidR="00BD2424">
              <w:rPr>
                <w:rFonts w:ascii="Aptos Narrow" w:hAnsi="Aptos Narrow"/>
                <w:color w:val="000000"/>
              </w:rPr>
              <w:t xml:space="preserve"> (Aberdeenshire </w:t>
            </w:r>
            <w:r w:rsidR="00E95AAC">
              <w:rPr>
                <w:rFonts w:ascii="Aptos Narrow" w:hAnsi="Aptos Narrow"/>
                <w:color w:val="000000"/>
              </w:rPr>
              <w:t>Council)</w:t>
            </w:r>
          </w:p>
        </w:tc>
        <w:tc>
          <w:tcPr>
            <w:tcW w:w="4111" w:type="dxa"/>
            <w:vAlign w:val="bottom"/>
          </w:tcPr>
          <w:p w14:paraId="6E5A37E7" w14:textId="0E7EEC58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Mark Han-Johnston</w:t>
            </w:r>
            <w:r w:rsidR="00E95AAC">
              <w:rPr>
                <w:rFonts w:ascii="Aptos Narrow" w:hAnsi="Aptos Narrow"/>
                <w:color w:val="000000"/>
              </w:rPr>
              <w:t xml:space="preserve"> (SDS Scotland)</w:t>
            </w:r>
          </w:p>
        </w:tc>
      </w:tr>
      <w:tr w:rsidR="00CA66CD" w:rsidRPr="00D6738E" w14:paraId="5797DE6C" w14:textId="26AF8A43" w:rsidTr="00F65A46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DA7A465" w14:textId="4A16B1FC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Beth Anderson</w:t>
            </w:r>
            <w:r w:rsidR="00E95AAC">
              <w:rPr>
                <w:rFonts w:ascii="Aptos Narrow" w:hAnsi="Aptos Narrow"/>
                <w:color w:val="000000"/>
              </w:rPr>
              <w:t xml:space="preserve"> (Scottish Government)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35AA5CF" w14:textId="711918F7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Susan Kelso</w:t>
            </w:r>
            <w:r w:rsidR="00E95AAC">
              <w:rPr>
                <w:rFonts w:ascii="Aptos Narrow" w:hAnsi="Aptos Narrow"/>
                <w:color w:val="000000"/>
              </w:rPr>
              <w:t xml:space="preserve"> (Personal Outcomes Network)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757EF40" w14:textId="1FEF394E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Heather Palmer</w:t>
            </w:r>
            <w:r w:rsidR="00E95AAC">
              <w:rPr>
                <w:rFonts w:ascii="Aptos Narrow" w:hAnsi="Aptos Narrow"/>
                <w:color w:val="000000"/>
              </w:rPr>
              <w:t xml:space="preserve"> (</w:t>
            </w:r>
            <w:r w:rsidR="00920681">
              <w:rPr>
                <w:rFonts w:ascii="Aptos Narrow" w:hAnsi="Aptos Narrow"/>
                <w:color w:val="000000"/>
              </w:rPr>
              <w:t>Scottish Government)</w:t>
            </w:r>
          </w:p>
        </w:tc>
      </w:tr>
      <w:tr w:rsidR="00CA66CD" w:rsidRPr="00D6738E" w14:paraId="7B8883CF" w14:textId="5A3DED0B" w:rsidTr="00F65A46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731B540" w14:textId="0859C2B0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Eilidh Shearer</w:t>
            </w:r>
            <w:r w:rsidR="00920681">
              <w:rPr>
                <w:rFonts w:ascii="Aptos Narrow" w:hAnsi="Aptos Narrow"/>
                <w:color w:val="000000"/>
              </w:rPr>
              <w:t xml:space="preserve"> (</w:t>
            </w:r>
            <w:r w:rsidR="002E3090">
              <w:rPr>
                <w:rFonts w:ascii="Aptos Narrow" w:hAnsi="Aptos Narrow"/>
                <w:color w:val="000000"/>
              </w:rPr>
              <w:t>CCPS)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9033803" w14:textId="49379A8B" w:rsidR="00CA66CD" w:rsidRPr="00D6738E" w:rsidRDefault="00F062A0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 xml:space="preserve">Iain McGregor (Voice </w:t>
            </w:r>
            <w:proofErr w:type="gramStart"/>
            <w:r>
              <w:rPr>
                <w:rFonts w:ascii="Aptos Narrow" w:hAnsi="Aptos Narrow"/>
                <w:color w:val="000000"/>
              </w:rPr>
              <w:t>Of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Carers Across Scotland)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4BBB469" w14:textId="2F222FE9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Matt Crilly</w:t>
            </w:r>
            <w:r w:rsidR="00920681">
              <w:rPr>
                <w:rFonts w:ascii="Aptos Narrow" w:hAnsi="Aptos Narrow"/>
                <w:color w:val="000000"/>
              </w:rPr>
              <w:t xml:space="preserve"> (COSLA)</w:t>
            </w:r>
          </w:p>
        </w:tc>
      </w:tr>
      <w:tr w:rsidR="00CA66CD" w:rsidRPr="00D6738E" w14:paraId="6719EAA0" w14:textId="0004EBD4" w:rsidTr="00F65A46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3F35894C" w14:textId="55640AD9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Billi Allen-Mandeville</w:t>
            </w:r>
            <w:r w:rsidR="002E3090">
              <w:rPr>
                <w:rFonts w:ascii="Aptos Narrow" w:hAnsi="Aptos Narrow"/>
                <w:color w:val="000000"/>
              </w:rPr>
              <w:t xml:space="preserve"> (</w:t>
            </w:r>
            <w:r w:rsidR="009E3365">
              <w:rPr>
                <w:rFonts w:ascii="Aptos Narrow" w:hAnsi="Aptos Narrow"/>
                <w:color w:val="000000"/>
              </w:rPr>
              <w:t>The Alliance)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03E0EE12" w14:textId="1858FD27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Sean Macaskill</w:t>
            </w:r>
            <w:r w:rsidR="009E3365">
              <w:rPr>
                <w:rFonts w:ascii="Aptos Narrow" w:hAnsi="Aptos Narrow"/>
                <w:color w:val="000000"/>
              </w:rPr>
              <w:t xml:space="preserve"> (</w:t>
            </w:r>
            <w:r w:rsidR="00C61BD8">
              <w:rPr>
                <w:rFonts w:ascii="Aptos Narrow" w:hAnsi="Aptos Narrow"/>
                <w:color w:val="000000"/>
              </w:rPr>
              <w:t>Autistic Knowledge Development)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57D7C2A9" w14:textId="3FB4525F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April O'Neil</w:t>
            </w:r>
            <w:r w:rsidR="00C61BD8">
              <w:rPr>
                <w:rFonts w:ascii="Aptos Narrow" w:hAnsi="Aptos Narrow"/>
                <w:color w:val="000000"/>
              </w:rPr>
              <w:t xml:space="preserve"> (</w:t>
            </w:r>
            <w:r w:rsidR="00555B99">
              <w:rPr>
                <w:rFonts w:ascii="Aptos Narrow" w:hAnsi="Aptos Narrow"/>
                <w:color w:val="000000"/>
              </w:rPr>
              <w:t>Inclusion Scotland)</w:t>
            </w:r>
          </w:p>
        </w:tc>
      </w:tr>
      <w:tr w:rsidR="00CA66CD" w:rsidRPr="00D6738E" w14:paraId="17FEBF38" w14:textId="0B53B267" w:rsidTr="00F65A46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684ADDE7" w14:textId="75309B89" w:rsidR="00CA66CD" w:rsidRPr="00D6738E" w:rsidRDefault="00F062A0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Alicia Petrie (ENABLE Scotland)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B2FE8B2" w14:textId="36CB0173" w:rsidR="00CA66CD" w:rsidRPr="00D6738E" w:rsidRDefault="00555B99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Anne-Marie Monaghan</w:t>
            </w:r>
            <w:r>
              <w:rPr>
                <w:rFonts w:ascii="Aptos Narrow" w:hAnsi="Aptos Narrow"/>
                <w:color w:val="000000"/>
              </w:rPr>
              <w:t xml:space="preserve"> (Community Brokerage Scotland)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4EFD510" w14:textId="14ACCA50" w:rsidR="00CA66CD" w:rsidRPr="00D6738E" w:rsidRDefault="005D319F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Cheryl Taylor</w:t>
            </w:r>
            <w:r>
              <w:rPr>
                <w:rFonts w:ascii="Aptos Narrow" w:hAnsi="Aptos Narrow"/>
                <w:color w:val="000000"/>
              </w:rPr>
              <w:t xml:space="preserve"> (SWS SDS Practice Network)</w:t>
            </w:r>
          </w:p>
        </w:tc>
      </w:tr>
      <w:tr w:rsidR="00CA66CD" w:rsidRPr="00D6738E" w14:paraId="7EFF22C0" w14:textId="1FCD90C5" w:rsidTr="00F65A46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2FA96EB" w14:textId="0D119CC9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Alastair Minty</w:t>
            </w:r>
            <w:r w:rsidR="005D319F">
              <w:rPr>
                <w:rFonts w:ascii="Aptos Narrow" w:hAnsi="Aptos Narrow"/>
                <w:color w:val="000000"/>
              </w:rPr>
              <w:t xml:space="preserve"> (</w:t>
            </w:r>
            <w:r w:rsidR="003375C5">
              <w:rPr>
                <w:rFonts w:ascii="Aptos Narrow" w:hAnsi="Aptos Narrow"/>
                <w:color w:val="000000"/>
              </w:rPr>
              <w:t>In Control Scotland)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027C8B78" w14:textId="4EE51281" w:rsidR="00CA66CD" w:rsidRPr="00D6738E" w:rsidRDefault="005D319F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Kaye Robertson (Community Brokerage Scotland)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2C3793C2" w14:textId="4FAE85FD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John Skouse</w:t>
            </w:r>
            <w:r w:rsidR="003375C5">
              <w:rPr>
                <w:rFonts w:ascii="Aptos Narrow" w:hAnsi="Aptos Narrow"/>
                <w:color w:val="000000"/>
              </w:rPr>
              <w:t xml:space="preserve"> (Care Inspectorate)</w:t>
            </w:r>
          </w:p>
        </w:tc>
      </w:tr>
      <w:tr w:rsidR="00CA66CD" w:rsidRPr="00D6738E" w14:paraId="0F6C5BA2" w14:textId="6B2C4A2C" w:rsidTr="00F65A46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CE52DBE" w14:textId="3765EF0D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Karen Procek</w:t>
            </w:r>
            <w:r w:rsidR="003375C5">
              <w:rPr>
                <w:rFonts w:ascii="Aptos Narrow" w:hAnsi="Aptos Narrow"/>
                <w:color w:val="000000"/>
              </w:rPr>
              <w:t xml:space="preserve"> (In Control Scotland)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F18A486" w14:textId="43413584" w:rsidR="00CA66CD" w:rsidRPr="00D6738E" w:rsidRDefault="008F70F2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J</w:t>
            </w:r>
            <w:r>
              <w:rPr>
                <w:rFonts w:ascii="Aptos Narrow" w:hAnsi="Aptos Narrow"/>
                <w:color w:val="000000"/>
              </w:rPr>
              <w:t>an MacLugash (Social Covenant Steering Group)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1D266BE1" w14:textId="53BD1CCE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Becky Duff</w:t>
            </w:r>
            <w:r w:rsidR="008F70F2">
              <w:rPr>
                <w:rFonts w:ascii="Aptos Narrow" w:hAnsi="Aptos Narrow"/>
                <w:color w:val="000000"/>
              </w:rPr>
              <w:t xml:space="preserve"> (Carers Trust)</w:t>
            </w:r>
          </w:p>
        </w:tc>
      </w:tr>
      <w:tr w:rsidR="00CA66CD" w:rsidRPr="00D6738E" w14:paraId="092C16F7" w14:textId="66054DCF" w:rsidTr="00F65A46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4B041D1C" w14:textId="4F7CBE62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Les Watson</w:t>
            </w:r>
            <w:r w:rsidR="008F70F2">
              <w:rPr>
                <w:rFonts w:ascii="Aptos Narrow" w:hAnsi="Aptos Narrow"/>
                <w:color w:val="000000"/>
              </w:rPr>
              <w:t xml:space="preserve"> (PA Network Scotland)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7DD8B0B" w14:textId="7EE28482" w:rsidR="00CA66CD" w:rsidRPr="00D6738E" w:rsidRDefault="00CA66CD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>
              <w:rPr>
                <w:rFonts w:ascii="Aptos Narrow" w:hAnsi="Aptos Narrow"/>
                <w:color w:val="000000"/>
              </w:rPr>
              <w:t>Susan  McKenzie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(Ayrshire Independent Living Network)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bottom"/>
          </w:tcPr>
          <w:p w14:paraId="7486EB71" w14:textId="7F057641" w:rsidR="00CA66CD" w:rsidRPr="00D6738E" w:rsidRDefault="008F70F2" w:rsidP="00CA66CD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Hannah McShane (Scottish Government)</w:t>
            </w:r>
          </w:p>
        </w:tc>
      </w:tr>
      <w:tr w:rsidR="00441C75" w:rsidRPr="00D6738E" w14:paraId="09C5B0F7" w14:textId="770347CE" w:rsidTr="00513737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79BFD8" w14:textId="43DB5852" w:rsidR="00441C75" w:rsidRPr="00D6738E" w:rsidRDefault="00CA66CD" w:rsidP="002D0D6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Jane Kellock (Social Work Scotland)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C1B191" w14:textId="1BD80C28" w:rsidR="00441C75" w:rsidRPr="00D6738E" w:rsidRDefault="00CA66CD" w:rsidP="002D0D6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Laura Finnan Cowan (Social Work Scotland)</w:t>
            </w: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E6B07B" w14:textId="4A57210A" w:rsidR="00441C75" w:rsidRPr="00D6738E" w:rsidRDefault="00CA66CD" w:rsidP="002D0D6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Donna Murray (Social Work Scotland)</w:t>
            </w:r>
          </w:p>
        </w:tc>
      </w:tr>
      <w:tr w:rsidR="00C97437" w:rsidRPr="00D6738E" w14:paraId="664B6F24" w14:textId="77777777" w:rsidTr="00513737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BB14F7" w14:textId="14804797" w:rsidR="00C97437" w:rsidRPr="00D6738E" w:rsidRDefault="00CA66CD" w:rsidP="002D0D6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Calum Carlyle (Social Work Scotland) (notes)</w:t>
            </w:r>
          </w:p>
        </w:tc>
        <w:tc>
          <w:tcPr>
            <w:tcW w:w="55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1FFAC2" w14:textId="4A57B6A2" w:rsidR="00C97437" w:rsidRPr="00D6738E" w:rsidRDefault="00C97437" w:rsidP="002D0D6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E3B2B4" w14:textId="334DCA54" w:rsidR="00C97437" w:rsidRPr="00D6738E" w:rsidRDefault="00C97437" w:rsidP="002D0D63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CBBDBA1" w14:textId="07167CE7" w:rsidR="00B12ADB" w:rsidRDefault="00B12ADB" w:rsidP="10E5096F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91B9268" w14:textId="41CC6B4F" w:rsidR="00D17CA9" w:rsidRDefault="00D17C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tbl>
      <w:tblPr>
        <w:tblStyle w:val="TableGrid"/>
        <w:tblW w:w="13918" w:type="dxa"/>
        <w:tblLook w:val="04A0" w:firstRow="1" w:lastRow="0" w:firstColumn="1" w:lastColumn="0" w:noHBand="0" w:noVBand="1"/>
      </w:tblPr>
      <w:tblGrid>
        <w:gridCol w:w="11100"/>
        <w:gridCol w:w="2818"/>
      </w:tblGrid>
      <w:tr w:rsidR="00D17CA9" w:rsidRPr="00D6738E" w14:paraId="2C4CC79F" w14:textId="77777777" w:rsidTr="001A25B6">
        <w:trPr>
          <w:trHeight w:val="699"/>
        </w:trPr>
        <w:tc>
          <w:tcPr>
            <w:tcW w:w="11100" w:type="dxa"/>
            <w:shd w:val="clear" w:color="auto" w:fill="E9F0F6" w:themeFill="accent1" w:themeFillTint="33"/>
            <w:vAlign w:val="center"/>
          </w:tcPr>
          <w:p w14:paraId="747162F8" w14:textId="77777777" w:rsidR="00D17CA9" w:rsidRPr="00D6738E" w:rsidRDefault="00D17CA9" w:rsidP="001A25B6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Welcome and Matters Arising</w:t>
            </w:r>
          </w:p>
        </w:tc>
        <w:tc>
          <w:tcPr>
            <w:tcW w:w="2818" w:type="dxa"/>
            <w:shd w:val="clear" w:color="auto" w:fill="E9F0F6" w:themeFill="accent1" w:themeFillTint="33"/>
            <w:vAlign w:val="center"/>
          </w:tcPr>
          <w:p w14:paraId="3CEEB2C3" w14:textId="77777777" w:rsidR="00D17CA9" w:rsidRPr="00D6738E" w:rsidRDefault="00D17CA9" w:rsidP="001A25B6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D6738E">
              <w:rPr>
                <w:rFonts w:ascii="Arial" w:hAnsi="Arial" w:cs="Arial"/>
                <w:b/>
                <w:sz w:val="24"/>
                <w:szCs w:val="24"/>
              </w:rPr>
              <w:t xml:space="preserve">Actions </w:t>
            </w:r>
          </w:p>
        </w:tc>
      </w:tr>
      <w:tr w:rsidR="00D17CA9" w:rsidRPr="00D6738E" w14:paraId="2E65F887" w14:textId="77777777" w:rsidTr="001A25B6">
        <w:tc>
          <w:tcPr>
            <w:tcW w:w="11100" w:type="dxa"/>
          </w:tcPr>
          <w:p w14:paraId="1892DE01" w14:textId="77777777" w:rsidR="00D17CA9" w:rsidRPr="00D6738E" w:rsidRDefault="00D17CA9" w:rsidP="001A25B6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55B8B87" w14:textId="77777777" w:rsidR="00D17CA9" w:rsidRDefault="00D17CA9" w:rsidP="003510D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DMd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welcomed the group. </w:t>
            </w:r>
          </w:p>
          <w:p w14:paraId="3404989B" w14:textId="4CCA677A" w:rsidR="00D17CA9" w:rsidRPr="00513737" w:rsidRDefault="00D17CA9" w:rsidP="003510D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13737">
              <w:rPr>
                <w:rFonts w:ascii="Arial" w:hAnsi="Arial" w:cs="Arial"/>
                <w:sz w:val="24"/>
                <w:szCs w:val="24"/>
              </w:rPr>
              <w:t xml:space="preserve">Apologies were </w:t>
            </w:r>
            <w:r>
              <w:rPr>
                <w:rFonts w:ascii="Arial" w:hAnsi="Arial" w:cs="Arial"/>
                <w:sz w:val="24"/>
                <w:szCs w:val="24"/>
              </w:rPr>
              <w:t>receiv</w:t>
            </w:r>
            <w:r w:rsidRPr="00513737">
              <w:rPr>
                <w:rFonts w:ascii="Arial" w:hAnsi="Arial" w:cs="Arial"/>
                <w:sz w:val="24"/>
                <w:szCs w:val="24"/>
              </w:rPr>
              <w:t xml:space="preserve">ed from: </w:t>
            </w:r>
            <w:r w:rsidR="0079130C">
              <w:rPr>
                <w:rFonts w:ascii="Arial" w:hAnsi="Arial" w:cs="Arial"/>
                <w:sz w:val="24"/>
                <w:szCs w:val="24"/>
              </w:rPr>
              <w:t xml:space="preserve">Morag Duncan, Des McCart, Rachel Mason, </w:t>
            </w:r>
            <w:r w:rsidR="009B45A1">
              <w:rPr>
                <w:rFonts w:ascii="Arial" w:hAnsi="Arial" w:cs="Arial"/>
                <w:sz w:val="24"/>
                <w:szCs w:val="24"/>
              </w:rPr>
              <w:t xml:space="preserve">Rob Gowans, LizAnne McCahill, Arlene Bunton, </w:t>
            </w:r>
          </w:p>
          <w:p w14:paraId="2F5F2EA1" w14:textId="77777777" w:rsidR="00D17CA9" w:rsidRDefault="00D17CA9" w:rsidP="003510D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previous meeting minutes were approved by assent. </w:t>
            </w:r>
          </w:p>
          <w:p w14:paraId="718C926E" w14:textId="77777777" w:rsidR="00D17CA9" w:rsidRPr="00D6738E" w:rsidRDefault="00D17CA9" w:rsidP="003510DD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matters arising. </w:t>
            </w:r>
            <w:r w:rsidRPr="00D6738E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818" w:type="dxa"/>
          </w:tcPr>
          <w:p w14:paraId="38DA6BCA" w14:textId="77777777" w:rsidR="00D17CA9" w:rsidRPr="00D6738E" w:rsidRDefault="00D17CA9" w:rsidP="001A25B6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900F2DA" w14:textId="77777777" w:rsidR="00D17CA9" w:rsidRPr="00D6738E" w:rsidRDefault="00D17CA9" w:rsidP="10E5096F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0"/>
        <w:gridCol w:w="2818"/>
      </w:tblGrid>
      <w:tr w:rsidR="10E5096F" w:rsidRPr="00D6738E" w14:paraId="78C727E4" w14:textId="77777777" w:rsidTr="10E5096F">
        <w:trPr>
          <w:trHeight w:val="699"/>
        </w:trPr>
        <w:tc>
          <w:tcPr>
            <w:tcW w:w="11100" w:type="dxa"/>
            <w:shd w:val="clear" w:color="auto" w:fill="E9F0F6" w:themeFill="accent1" w:themeFillTint="33"/>
            <w:vAlign w:val="center"/>
          </w:tcPr>
          <w:p w14:paraId="48C78E86" w14:textId="3B270AF0" w:rsidR="3FBAD555" w:rsidRPr="00D6738E" w:rsidRDefault="0029722D" w:rsidP="10E5096F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Monitoring and Evaluation of the SDS Improvement Plan – Year 1 Report</w:t>
            </w:r>
          </w:p>
        </w:tc>
        <w:tc>
          <w:tcPr>
            <w:tcW w:w="2818" w:type="dxa"/>
            <w:shd w:val="clear" w:color="auto" w:fill="E9F0F6" w:themeFill="accent1" w:themeFillTint="33"/>
            <w:vAlign w:val="center"/>
          </w:tcPr>
          <w:p w14:paraId="48164B8C" w14:textId="5B01F657" w:rsidR="3FBAD555" w:rsidRPr="00D6738E" w:rsidRDefault="3FBAD555" w:rsidP="10E5096F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</w:t>
            </w:r>
          </w:p>
        </w:tc>
      </w:tr>
      <w:tr w:rsidR="10E5096F" w:rsidRPr="00D6738E" w14:paraId="75C8DFB2" w14:textId="77777777" w:rsidTr="10E5096F">
        <w:tc>
          <w:tcPr>
            <w:tcW w:w="11100" w:type="dxa"/>
          </w:tcPr>
          <w:p w14:paraId="637C5ECD" w14:textId="77777777" w:rsidR="10E5096F" w:rsidRDefault="10E5096F" w:rsidP="10E5096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0FF797C" w14:textId="77777777" w:rsidR="005C6EDE" w:rsidRDefault="0029722D" w:rsidP="005C6ED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meeting began with a presentation </w:t>
            </w:r>
            <w:r w:rsidR="00C707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on the report, which was circulated. </w:t>
            </w:r>
          </w:p>
          <w:p w14:paraId="71FBA631" w14:textId="53E4483D" w:rsidR="0029722D" w:rsidRDefault="00C707AF" w:rsidP="005C6ED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  <w:r w:rsidRPr="00C707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object w:dxaOrig="1537" w:dyaOrig="997" w14:anchorId="6E54C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76.5pt;height:49.5pt" o:ole="">
                  <v:imagedata r:id="rId10" o:title=""/>
                </v:shape>
                <o:OLEObject Type="Embed" ProgID="PowerPoint.Show.12" ShapeID="_x0000_i1026" DrawAspect="Icon" ObjectID="_1799138373" r:id="rId11"/>
              </w:objec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bookmarkStart w:id="0" w:name="_MON_1799135305"/>
            <w:bookmarkEnd w:id="0"/>
            <w:r w:rsidRPr="00C707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object w:dxaOrig="1537" w:dyaOrig="997" w14:anchorId="365C2A94">
                <v:shape id="_x0000_i1025" type="#_x0000_t75" style="width:76.5pt;height:49.5pt" o:ole="">
                  <v:imagedata r:id="rId12" o:title=""/>
                </v:shape>
                <o:OLEObject Type="Embed" ProgID="Word.Document.12" ShapeID="_x0000_i1025" DrawAspect="Icon" ObjectID="_1799138374" r:id="rId13">
                  <o:FieldCodes>\s</o:FieldCodes>
                </o:OLEObject>
              </w:objec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C707A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(double click to open these documents)</w:t>
            </w:r>
          </w:p>
          <w:p w14:paraId="059C5139" w14:textId="32B72D8E" w:rsidR="3FBAD555" w:rsidRPr="00786FCF" w:rsidRDefault="3FBAD555" w:rsidP="001A2B4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</w:tcPr>
          <w:p w14:paraId="34F69E82" w14:textId="77777777" w:rsidR="10E5096F" w:rsidRPr="00D6738E" w:rsidRDefault="10E5096F" w:rsidP="10E5096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33956E8" w14:textId="51FFCCA4" w:rsidR="10E5096F" w:rsidRPr="00D6738E" w:rsidRDefault="10E5096F" w:rsidP="10E5096F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0"/>
        <w:gridCol w:w="2818"/>
      </w:tblGrid>
      <w:tr w:rsidR="10E5096F" w:rsidRPr="00D6738E" w14:paraId="64E23552" w14:textId="77777777" w:rsidTr="10E5096F">
        <w:trPr>
          <w:trHeight w:val="699"/>
        </w:trPr>
        <w:tc>
          <w:tcPr>
            <w:tcW w:w="11100" w:type="dxa"/>
            <w:shd w:val="clear" w:color="auto" w:fill="E9F0F6" w:themeFill="accent1" w:themeFillTint="33"/>
            <w:vAlign w:val="center"/>
          </w:tcPr>
          <w:p w14:paraId="4F8E622A" w14:textId="090CA192" w:rsidR="3FBAD555" w:rsidRPr="00D6738E" w:rsidRDefault="00D603D7" w:rsidP="10E5096F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SDS - Challenges and Issues</w:t>
            </w:r>
          </w:p>
        </w:tc>
        <w:tc>
          <w:tcPr>
            <w:tcW w:w="2818" w:type="dxa"/>
            <w:shd w:val="clear" w:color="auto" w:fill="E9F0F6" w:themeFill="accent1" w:themeFillTint="33"/>
            <w:vAlign w:val="center"/>
          </w:tcPr>
          <w:p w14:paraId="0C228DF8" w14:textId="5B01F657" w:rsidR="3FBAD555" w:rsidRPr="00D6738E" w:rsidRDefault="3FBAD555" w:rsidP="10E5096F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</w:t>
            </w:r>
          </w:p>
        </w:tc>
      </w:tr>
      <w:tr w:rsidR="10E5096F" w:rsidRPr="00D6738E" w14:paraId="1EF08CB0" w14:textId="77777777" w:rsidTr="10E5096F">
        <w:tc>
          <w:tcPr>
            <w:tcW w:w="11100" w:type="dxa"/>
          </w:tcPr>
          <w:p w14:paraId="7007CD7E" w14:textId="77777777" w:rsidR="10E5096F" w:rsidRPr="00786FCF" w:rsidRDefault="10E5096F" w:rsidP="10E5096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B25EA35" w14:textId="1CAF0385" w:rsidR="00DC5F45" w:rsidRDefault="00BD7C7B" w:rsidP="001A2B4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Smaller discussion groups broke off to discuss the report and whether the key themes were </w:t>
            </w:r>
            <w:r w:rsidR="00FE0B8E">
              <w:rPr>
                <w:rFonts w:ascii="Arial" w:hAnsi="Arial" w:cs="Arial"/>
                <w:sz w:val="24"/>
                <w:szCs w:val="24"/>
              </w:rPr>
              <w:t xml:space="preserve">accurate, and </w:t>
            </w:r>
            <w:r w:rsidR="00E01048">
              <w:rPr>
                <w:rFonts w:ascii="Arial" w:hAnsi="Arial" w:cs="Arial"/>
                <w:sz w:val="24"/>
                <w:szCs w:val="24"/>
              </w:rPr>
              <w:t xml:space="preserve">the challenges and issues involved with implementation of SDS in Scotland </w:t>
            </w:r>
            <w:proofErr w:type="gramStart"/>
            <w:r w:rsidR="00E01048">
              <w:rPr>
                <w:rFonts w:ascii="Arial" w:hAnsi="Arial" w:cs="Arial"/>
                <w:sz w:val="24"/>
                <w:szCs w:val="24"/>
              </w:rPr>
              <w:t>at the moment</w:t>
            </w:r>
            <w:proofErr w:type="gramEnd"/>
            <w:r w:rsidR="00E01048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E4E3E">
              <w:rPr>
                <w:rFonts w:ascii="Arial" w:hAnsi="Arial" w:cs="Arial"/>
                <w:sz w:val="24"/>
                <w:szCs w:val="24"/>
              </w:rPr>
              <w:t xml:space="preserve">The points raised were: </w:t>
            </w:r>
          </w:p>
          <w:p w14:paraId="45E81148" w14:textId="77777777" w:rsidR="003E4E3E" w:rsidRDefault="003E4E3E" w:rsidP="001A2B4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FD9187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Capacity and resource issues, particularly in Edinburgh, leading to people being nudged towards option one due to lack of other available options.</w:t>
            </w:r>
          </w:p>
          <w:p w14:paraId="77C4A315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Navigating the system can be overwhelming, especially for those with learning disabilities.</w:t>
            </w:r>
          </w:p>
          <w:p w14:paraId="4DB161EE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Financial pressures impact the flexibility of funding and the ability to meet outcomes.</w:t>
            </w:r>
          </w:p>
          <w:p w14:paraId="2906B743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importance of strengthening relationships and engagement across sectors.</w:t>
            </w:r>
          </w:p>
          <w:p w14:paraId="01B149FA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value of using real-world examples and stories to illustrate the impact of self-directed support.</w:t>
            </w:r>
          </w:p>
          <w:p w14:paraId="096FBDFC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Issues related to assessment and eligibility, with concerns about the flexibility of spending and the confidence of workers in making decisions that meet outcomes.</w:t>
            </w:r>
          </w:p>
          <w:p w14:paraId="1ED82EF0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need for better public awareness and understanding of self-directed support.</w:t>
            </w:r>
          </w:p>
          <w:p w14:paraId="668D751B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importance of inclusive engagement with vulnerable groups.</w:t>
            </w:r>
          </w:p>
          <w:p w14:paraId="5BD28C26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role of national collaborations in supporting inclusive engagement.</w:t>
            </w:r>
          </w:p>
          <w:p w14:paraId="37576F36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need for detailed real-world examples and stories to illustrate the impact of self-directed support.</w:t>
            </w:r>
          </w:p>
          <w:p w14:paraId="3052498D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importance of meeting outcomes and the flexibility of funding.</w:t>
            </w:r>
          </w:p>
          <w:p w14:paraId="5FDC8561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impact of financial pressures on the flexibility of how funding can be used.</w:t>
            </w:r>
          </w:p>
          <w:p w14:paraId="29F5CE4E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need for better support for people using direct payments.</w:t>
            </w:r>
          </w:p>
          <w:p w14:paraId="55F847AC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importance of confidence in the relationship between workers and carers or supported persons.</w:t>
            </w:r>
          </w:p>
          <w:p w14:paraId="30E27A4F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need for regular updates and keeping self-directed support dynamic.</w:t>
            </w:r>
          </w:p>
          <w:p w14:paraId="7B7B06F5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importance of understanding and adhering to statutory guidance and duties.</w:t>
            </w:r>
          </w:p>
          <w:p w14:paraId="39C6D22D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value of personalized case studies and stories of success.</w:t>
            </w:r>
          </w:p>
          <w:p w14:paraId="1B79D4DA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need for better connections with other policy drivers to fully implement self-directed support.</w:t>
            </w:r>
          </w:p>
          <w:p w14:paraId="2BE77422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importance of public awareness and understanding of self-directed support.</w:t>
            </w:r>
          </w:p>
          <w:p w14:paraId="695EF405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need for better support for workers to make confident decisions that meet outcomes.</w:t>
            </w:r>
          </w:p>
          <w:p w14:paraId="7AC46271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importance of flexibility in spending to meet outcomes.</w:t>
            </w:r>
          </w:p>
          <w:p w14:paraId="5B018834" w14:textId="77777777" w:rsidR="003E4E3E" w:rsidRPr="00A15FD5" w:rsidRDefault="003E4E3E" w:rsidP="003E4E3E">
            <w:pPr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A15FD5">
              <w:rPr>
                <w:rFonts w:ascii="Arial" w:hAnsi="Arial" w:cs="Arial"/>
                <w:sz w:val="24"/>
                <w:szCs w:val="24"/>
              </w:rPr>
              <w:t>The need for better public awareness and understanding of the impact of self-directed support.</w:t>
            </w:r>
          </w:p>
          <w:p w14:paraId="459BB140" w14:textId="09A1161B" w:rsidR="3FBAD555" w:rsidRPr="00786FCF" w:rsidRDefault="3FBAD555" w:rsidP="001A2B4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</w:tcPr>
          <w:p w14:paraId="6E054127" w14:textId="77777777" w:rsidR="10E5096F" w:rsidRPr="00D6738E" w:rsidRDefault="10E5096F" w:rsidP="10E5096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7B49D38" w14:textId="51B56AD0" w:rsidR="10E5096F" w:rsidRPr="00D6738E" w:rsidRDefault="10E5096F" w:rsidP="10E5096F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0"/>
        <w:gridCol w:w="2818"/>
      </w:tblGrid>
      <w:tr w:rsidR="10E5096F" w:rsidRPr="00D6738E" w14:paraId="5F51E868" w14:textId="77777777" w:rsidTr="10E5096F">
        <w:trPr>
          <w:trHeight w:val="699"/>
        </w:trPr>
        <w:tc>
          <w:tcPr>
            <w:tcW w:w="11100" w:type="dxa"/>
            <w:shd w:val="clear" w:color="auto" w:fill="E9F0F6" w:themeFill="accent1" w:themeFillTint="33"/>
            <w:vAlign w:val="center"/>
          </w:tcPr>
          <w:p w14:paraId="658AAD2F" w14:textId="3361241A" w:rsidR="3FBAD555" w:rsidRPr="00D6738E" w:rsidRDefault="00D603D7" w:rsidP="10E5096F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SDS – Ongoing Improvement</w:t>
            </w:r>
            <w:r w:rsidR="008776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shd w:val="clear" w:color="auto" w:fill="E9F0F6" w:themeFill="accent1" w:themeFillTint="33"/>
            <w:vAlign w:val="center"/>
          </w:tcPr>
          <w:p w14:paraId="6AC24656" w14:textId="5B01F657" w:rsidR="3FBAD555" w:rsidRPr="00D6738E" w:rsidRDefault="3FBAD555" w:rsidP="10E5096F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</w:t>
            </w:r>
          </w:p>
        </w:tc>
      </w:tr>
      <w:tr w:rsidR="10E5096F" w:rsidRPr="00D6738E" w14:paraId="5BA32C9F" w14:textId="77777777" w:rsidTr="10E5096F">
        <w:tc>
          <w:tcPr>
            <w:tcW w:w="11100" w:type="dxa"/>
          </w:tcPr>
          <w:p w14:paraId="3F079355" w14:textId="77777777" w:rsidR="10E5096F" w:rsidRDefault="10E5096F" w:rsidP="001A2B4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BE7E3B" w14:textId="27B87E84" w:rsidR="00BB711C" w:rsidRDefault="00BB711C" w:rsidP="001A2B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the second discussion session, small groups discussed and identified</w:t>
            </w:r>
            <w:r w:rsidRPr="000A7139">
              <w:rPr>
                <w:rFonts w:ascii="Arial" w:hAnsi="Arial" w:cs="Arial"/>
                <w:sz w:val="24"/>
                <w:szCs w:val="24"/>
              </w:rPr>
              <w:t xml:space="preserve"> various challenges, suggestions, and ideas to improve the implementation and effectiveness of self-directed 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2A1E161" w14:textId="0D494AAD" w:rsidR="00BB711C" w:rsidRDefault="00BB711C" w:rsidP="001A2B4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points raised were: </w:t>
            </w:r>
          </w:p>
          <w:p w14:paraId="75396E5F" w14:textId="77777777" w:rsidR="00BB711C" w:rsidRDefault="00BB711C" w:rsidP="001A2B44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B2DC94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importance of education for practitioners, including better awareness of self-directed support (SDS) legislation, rights, and duties.</w:t>
            </w:r>
          </w:p>
          <w:p w14:paraId="17C51A92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need for accessibility of information, not just in easy read or plain English, but in a way that makes SDS easier to understand for everyone.</w:t>
            </w:r>
          </w:p>
          <w:p w14:paraId="7F990FCD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idea of a hub for accessibility to help people navigate the complex system.</w:t>
            </w:r>
          </w:p>
          <w:p w14:paraId="2E003797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tension between consistency and local variation in policies and practices.</w:t>
            </w:r>
          </w:p>
          <w:p w14:paraId="5961691B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need for a minimal level of understanding across what good looks like in social care.</w:t>
            </w:r>
          </w:p>
          <w:p w14:paraId="090A1511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importance of high-quality social care and the realization of people's rights despite tight resources.</w:t>
            </w:r>
          </w:p>
          <w:p w14:paraId="62D6E200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need to influence local policy to align with national policy and SDS standards.</w:t>
            </w:r>
          </w:p>
          <w:p w14:paraId="68A8F603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challenge of defining an improvement plan that meets everyone's needs due to local geographies and communities.</w:t>
            </w:r>
          </w:p>
          <w:p w14:paraId="34F2AD07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need for better mechanisms for recording and addressing unmet needs, especially in rural communities.</w:t>
            </w:r>
          </w:p>
          <w:p w14:paraId="5CE4BA83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importance of accountability, complaints, feedback, and user satisfaction in social care services.</w:t>
            </w:r>
          </w:p>
          <w:p w14:paraId="4DD40CAE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need for a permissive culture that allows for flexibility and creativity in using SDS funds.</w:t>
            </w:r>
          </w:p>
          <w:p w14:paraId="5AF747ED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importance of compulsory training for frontline staff and middle management.</w:t>
            </w:r>
          </w:p>
          <w:p w14:paraId="5B8F2B55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need for stronger consequences for local authorities that breach legislation.</w:t>
            </w:r>
          </w:p>
          <w:p w14:paraId="1E7E4CB9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issue of power and paternalism in the current system and the need to shift power to the right places.</w:t>
            </w:r>
          </w:p>
          <w:p w14:paraId="6E521DCF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disconnect between children and adult services and the need to bridge this gap.</w:t>
            </w:r>
          </w:p>
          <w:p w14:paraId="5F4E8EC6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suggestion of pilots on new approaches to combat risk aversion within the system.</w:t>
            </w:r>
          </w:p>
          <w:p w14:paraId="63C83671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lastRenderedPageBreak/>
              <w:t>The need for better data to understand and address issues related to SDS.</w:t>
            </w:r>
          </w:p>
          <w:p w14:paraId="12DD7834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 xml:space="preserve">The importance of common sense and decent care being recognized and not always </w:t>
            </w:r>
            <w:proofErr w:type="spellStart"/>
            <w:r w:rsidRPr="000A7139">
              <w:rPr>
                <w:rFonts w:ascii="Arial" w:hAnsi="Arial" w:cs="Arial"/>
                <w:sz w:val="24"/>
                <w:szCs w:val="24"/>
              </w:rPr>
              <w:t>labeled</w:t>
            </w:r>
            <w:proofErr w:type="spellEnd"/>
            <w:r w:rsidRPr="000A7139">
              <w:rPr>
                <w:rFonts w:ascii="Arial" w:hAnsi="Arial" w:cs="Arial"/>
                <w:sz w:val="24"/>
                <w:szCs w:val="24"/>
              </w:rPr>
              <w:t xml:space="preserve"> as innovative or risky.</w:t>
            </w:r>
          </w:p>
          <w:p w14:paraId="55590CA0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need for a permissive culture that allows for creative and flexible use of SDS funds to retain good staff.</w:t>
            </w:r>
          </w:p>
          <w:p w14:paraId="544636A2" w14:textId="77777777" w:rsidR="00914D99" w:rsidRPr="000A7139" w:rsidRDefault="00914D99" w:rsidP="00914D99">
            <w:pPr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0A7139">
              <w:rPr>
                <w:rFonts w:ascii="Arial" w:hAnsi="Arial" w:cs="Arial"/>
                <w:sz w:val="24"/>
                <w:szCs w:val="24"/>
              </w:rPr>
              <w:t>The importance of having a well-resourced system and the need for collaboration between national and local governments to protect people and improve services.</w:t>
            </w:r>
          </w:p>
          <w:p w14:paraId="704B8CB1" w14:textId="1CCC45BC" w:rsidR="3FBAD555" w:rsidRPr="00D6738E" w:rsidRDefault="3FBAD555" w:rsidP="00DB639F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8" w:type="dxa"/>
          </w:tcPr>
          <w:p w14:paraId="218C2BA9" w14:textId="77777777" w:rsidR="10E5096F" w:rsidRPr="00D6738E" w:rsidRDefault="10E5096F" w:rsidP="10E5096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1BF8E0DF" w14:textId="5E4F5A71" w:rsidR="10E5096F" w:rsidRPr="00D6738E" w:rsidRDefault="10E5096F" w:rsidP="10E5096F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52A14E8" w14:textId="3F73D1A3" w:rsidR="10E5096F" w:rsidRPr="00D6738E" w:rsidRDefault="10E5096F" w:rsidP="10E5096F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0"/>
        <w:gridCol w:w="2818"/>
      </w:tblGrid>
      <w:tr w:rsidR="10E5096F" w:rsidRPr="00D6738E" w14:paraId="749C1D09" w14:textId="77777777" w:rsidTr="10E5096F">
        <w:trPr>
          <w:trHeight w:val="699"/>
        </w:trPr>
        <w:tc>
          <w:tcPr>
            <w:tcW w:w="11100" w:type="dxa"/>
            <w:shd w:val="clear" w:color="auto" w:fill="E9F0F6" w:themeFill="accent1" w:themeFillTint="33"/>
            <w:vAlign w:val="center"/>
          </w:tcPr>
          <w:p w14:paraId="5667E29B" w14:textId="4154BAAD" w:rsidR="3FBAD555" w:rsidRPr="00D6738E" w:rsidRDefault="008776BF" w:rsidP="10E5096F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2818" w:type="dxa"/>
            <w:shd w:val="clear" w:color="auto" w:fill="E9F0F6" w:themeFill="accent1" w:themeFillTint="33"/>
            <w:vAlign w:val="center"/>
          </w:tcPr>
          <w:p w14:paraId="6E06BF4B" w14:textId="5B01F657" w:rsidR="3FBAD555" w:rsidRPr="00D6738E" w:rsidRDefault="3FBAD555" w:rsidP="10E5096F">
            <w:pPr>
              <w:pStyle w:val="NoSpacing"/>
              <w:spacing w:line="276" w:lineRule="auto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73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</w:t>
            </w:r>
          </w:p>
        </w:tc>
      </w:tr>
      <w:tr w:rsidR="10E5096F" w:rsidRPr="00D6738E" w14:paraId="58952AA0" w14:textId="77777777" w:rsidTr="10E5096F">
        <w:tc>
          <w:tcPr>
            <w:tcW w:w="11100" w:type="dxa"/>
          </w:tcPr>
          <w:p w14:paraId="0C8BA29E" w14:textId="77777777" w:rsidR="10E5096F" w:rsidRPr="00D6738E" w:rsidRDefault="10E5096F" w:rsidP="10E5096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5FA8CFF" w14:textId="3F7CCCAE" w:rsidR="00914D99" w:rsidRDefault="00914D99" w:rsidP="001A2B4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Scottish Government colleagues will take the </w:t>
            </w:r>
            <w:r w:rsidR="00794903">
              <w:rPr>
                <w:rFonts w:ascii="Arial" w:hAnsi="Arial" w:cs="Arial"/>
                <w:sz w:val="24"/>
                <w:szCs w:val="24"/>
              </w:rPr>
              <w:t xml:space="preserve">feedback from this session to inform future planning and reporting against the SDS Improvement Plan. </w:t>
            </w:r>
          </w:p>
          <w:p w14:paraId="4EA746EF" w14:textId="77777777" w:rsidR="00914D99" w:rsidRDefault="00914D99" w:rsidP="001A2B4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36DBC4" w14:textId="1EE85578" w:rsidR="3FBAD555" w:rsidRPr="00D6738E" w:rsidRDefault="00786FCF" w:rsidP="001A2B44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FCF">
              <w:rPr>
                <w:rFonts w:ascii="Arial" w:hAnsi="Arial" w:cs="Arial"/>
                <w:sz w:val="24"/>
                <w:szCs w:val="24"/>
              </w:rPr>
              <w:t xml:space="preserve">The next meeting of this group will be on </w:t>
            </w:r>
            <w:r w:rsidR="00D603D7" w:rsidRPr="00D603D7">
              <w:rPr>
                <w:rFonts w:ascii="Arial" w:hAnsi="Arial" w:cs="Arial"/>
                <w:b/>
                <w:bCs/>
                <w:sz w:val="24"/>
                <w:szCs w:val="24"/>
              </w:rPr>
              <w:t>Wednesday 5</w:t>
            </w:r>
            <w:r w:rsidR="00D603D7" w:rsidRPr="00D603D7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D603D7" w:rsidRPr="00D603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 2025</w:t>
            </w:r>
            <w:r w:rsidR="00D603D7">
              <w:rPr>
                <w:rFonts w:ascii="Arial" w:hAnsi="Arial" w:cs="Arial"/>
                <w:sz w:val="24"/>
                <w:szCs w:val="24"/>
              </w:rPr>
              <w:t xml:space="preserve"> at 1pm. </w:t>
            </w:r>
            <w:r w:rsidR="3FBAD555" w:rsidRPr="00D6738E">
              <w:rPr>
                <w:rFonts w:ascii="Arial" w:hAnsi="Arial" w:cs="Arial"/>
              </w:rPr>
              <w:br/>
            </w:r>
          </w:p>
        </w:tc>
        <w:tc>
          <w:tcPr>
            <w:tcW w:w="2818" w:type="dxa"/>
          </w:tcPr>
          <w:p w14:paraId="63450D5D" w14:textId="77777777" w:rsidR="10E5096F" w:rsidRPr="00D6738E" w:rsidRDefault="10E5096F" w:rsidP="10E5096F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6FA62AD" w14:textId="630DEE19" w:rsidR="10E5096F" w:rsidRPr="00D6738E" w:rsidRDefault="10E5096F" w:rsidP="10E5096F">
      <w:pPr>
        <w:pStyle w:val="NoSpacing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sectPr w:rsidR="10E5096F" w:rsidRPr="00D6738E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047C" w14:textId="77777777" w:rsidR="006554C8" w:rsidRDefault="006554C8" w:rsidP="00727BB6">
      <w:pPr>
        <w:spacing w:after="0" w:line="240" w:lineRule="auto"/>
      </w:pPr>
      <w:r>
        <w:separator/>
      </w:r>
    </w:p>
  </w:endnote>
  <w:endnote w:type="continuationSeparator" w:id="0">
    <w:p w14:paraId="6A3E04D4" w14:textId="77777777" w:rsidR="006554C8" w:rsidRDefault="006554C8" w:rsidP="0072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8464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D078BD" w14:textId="15D791FE" w:rsidR="00EC3626" w:rsidRPr="00727BB6" w:rsidRDefault="00EC3626" w:rsidP="00727BB6">
        <w:pPr>
          <w:pStyle w:val="Footer"/>
          <w:rPr>
            <w:rFonts w:ascii="Arial" w:hAnsi="Arial" w:cs="Arial"/>
          </w:rPr>
        </w:pPr>
        <w:r>
          <w:rPr>
            <w:rFonts w:ascii="Arial" w:hAnsi="Arial" w:cs="Arial"/>
          </w:rPr>
          <w:tab/>
        </w:r>
        <w:r>
          <w:rPr>
            <w:rFonts w:ascii="Arial" w:hAnsi="Arial" w:cs="Arial"/>
          </w:rPr>
          <w:tab/>
        </w:r>
        <w:r w:rsidRPr="00727BB6">
          <w:rPr>
            <w:rFonts w:ascii="Arial" w:hAnsi="Arial" w:cs="Arial"/>
          </w:rPr>
          <w:fldChar w:fldCharType="begin"/>
        </w:r>
        <w:r w:rsidRPr="00727BB6">
          <w:rPr>
            <w:rFonts w:ascii="Arial" w:hAnsi="Arial" w:cs="Arial"/>
          </w:rPr>
          <w:instrText xml:space="preserve"> PAGE   \* MERGEFORMAT </w:instrText>
        </w:r>
        <w:r w:rsidRPr="00727BB6">
          <w:rPr>
            <w:rFonts w:ascii="Arial" w:hAnsi="Arial" w:cs="Arial"/>
          </w:rPr>
          <w:fldChar w:fldCharType="separate"/>
        </w:r>
        <w:r w:rsidR="00786FCF">
          <w:rPr>
            <w:rFonts w:ascii="Arial" w:hAnsi="Arial" w:cs="Arial"/>
            <w:noProof/>
          </w:rPr>
          <w:t>3</w:t>
        </w:r>
        <w:r w:rsidRPr="00727BB6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8C47" w14:textId="77777777" w:rsidR="006554C8" w:rsidRDefault="006554C8" w:rsidP="00727BB6">
      <w:pPr>
        <w:spacing w:after="0" w:line="240" w:lineRule="auto"/>
      </w:pPr>
      <w:r>
        <w:separator/>
      </w:r>
    </w:p>
  </w:footnote>
  <w:footnote w:type="continuationSeparator" w:id="0">
    <w:p w14:paraId="516707F6" w14:textId="77777777" w:rsidR="006554C8" w:rsidRDefault="006554C8" w:rsidP="0072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04FC" w14:textId="12F9D7BA" w:rsidR="00EC3626" w:rsidRDefault="00EC3626" w:rsidP="00AE07F2">
    <w:pPr>
      <w:pStyle w:val="Header"/>
      <w:jc w:val="right"/>
    </w:pPr>
    <w:r>
      <w:rPr>
        <w:noProof/>
        <w:lang w:eastAsia="en-GB"/>
      </w:rPr>
      <w:drawing>
        <wp:inline distT="0" distB="0" distL="0" distR="0" wp14:anchorId="15D5B17F" wp14:editId="194D4CAC">
          <wp:extent cx="736600" cy="685800"/>
          <wp:effectExtent l="0" t="0" r="6350" b="0"/>
          <wp:docPr id="1002498620" name="Picture 10024986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498620" name="Picture 10024986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A94"/>
    <w:multiLevelType w:val="multilevel"/>
    <w:tmpl w:val="B02C2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152DC"/>
    <w:multiLevelType w:val="hybridMultilevel"/>
    <w:tmpl w:val="4356A3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4297F"/>
    <w:multiLevelType w:val="hybridMultilevel"/>
    <w:tmpl w:val="8196C060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3E6442"/>
    <w:multiLevelType w:val="hybridMultilevel"/>
    <w:tmpl w:val="ED86DAEC"/>
    <w:lvl w:ilvl="0" w:tplc="9580FB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E1AF1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23501F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plc="9ED25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plc="6A2440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plc="CF2C8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plc="9CC84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plc="46882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plc="3446B5C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2677A9"/>
    <w:multiLevelType w:val="hybridMultilevel"/>
    <w:tmpl w:val="EFE0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2B91"/>
    <w:multiLevelType w:val="hybridMultilevel"/>
    <w:tmpl w:val="1C6807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571E3E"/>
    <w:multiLevelType w:val="hybridMultilevel"/>
    <w:tmpl w:val="D764D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580D6F"/>
    <w:multiLevelType w:val="multilevel"/>
    <w:tmpl w:val="2E6E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F860E3"/>
    <w:multiLevelType w:val="multilevel"/>
    <w:tmpl w:val="6EEE1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F0F59"/>
    <w:multiLevelType w:val="hybridMultilevel"/>
    <w:tmpl w:val="9648E9AE"/>
    <w:lvl w:ilvl="0" w:tplc="0809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10" w15:restartNumberingAfterBreak="0">
    <w:nsid w:val="50ED54ED"/>
    <w:multiLevelType w:val="multilevel"/>
    <w:tmpl w:val="5B8C62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353C1"/>
    <w:multiLevelType w:val="hybridMultilevel"/>
    <w:tmpl w:val="D4AEB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E27EE"/>
    <w:multiLevelType w:val="hybridMultilevel"/>
    <w:tmpl w:val="23A60558"/>
    <w:lvl w:ilvl="0" w:tplc="7708D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A259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9E6A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640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42E6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C0203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52E77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B1AF4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487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697D1D"/>
    <w:multiLevelType w:val="hybridMultilevel"/>
    <w:tmpl w:val="3778821E"/>
    <w:lvl w:ilvl="0" w:tplc="567EB480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826A44"/>
    <w:multiLevelType w:val="hybridMultilevel"/>
    <w:tmpl w:val="6918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91F6F"/>
    <w:multiLevelType w:val="hybridMultilevel"/>
    <w:tmpl w:val="4A1EC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175B4"/>
    <w:multiLevelType w:val="hybridMultilevel"/>
    <w:tmpl w:val="8196C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90028"/>
    <w:multiLevelType w:val="hybridMultilevel"/>
    <w:tmpl w:val="7222E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E66E7F"/>
    <w:multiLevelType w:val="hybridMultilevel"/>
    <w:tmpl w:val="23A60558"/>
    <w:lvl w:ilvl="0" w:tplc="476A3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38C2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EEEB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19C3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D3895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1C68A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FC8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6AE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20884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C846A3"/>
    <w:multiLevelType w:val="hybridMultilevel"/>
    <w:tmpl w:val="23A60558"/>
    <w:lvl w:ilvl="0" w:tplc="DA268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605B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13C9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288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AE84E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0BEC9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C9E5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A588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37E89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AC56BC"/>
    <w:multiLevelType w:val="hybridMultilevel"/>
    <w:tmpl w:val="908A87BE"/>
    <w:lvl w:ilvl="0" w:tplc="8F74D818">
      <w:start w:val="4"/>
      <w:numFmt w:val="bullet"/>
      <w:lvlText w:val="-"/>
      <w:lvlJc w:val="left"/>
      <w:pPr>
        <w:ind w:left="817" w:hanging="360"/>
      </w:pPr>
      <w:rPr>
        <w:rFonts w:ascii="Arial" w:eastAsiaTheme="minorHAnsi" w:hAnsi="Arial" w:cs="Arial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num w:numId="1" w16cid:durableId="1425296739">
    <w:abstractNumId w:val="9"/>
  </w:num>
  <w:num w:numId="2" w16cid:durableId="901524669">
    <w:abstractNumId w:val="4"/>
  </w:num>
  <w:num w:numId="3" w16cid:durableId="1000234071">
    <w:abstractNumId w:val="2"/>
  </w:num>
  <w:num w:numId="4" w16cid:durableId="644701573">
    <w:abstractNumId w:val="16"/>
  </w:num>
  <w:num w:numId="5" w16cid:durableId="663556803">
    <w:abstractNumId w:val="17"/>
  </w:num>
  <w:num w:numId="6" w16cid:durableId="4478421">
    <w:abstractNumId w:val="14"/>
  </w:num>
  <w:num w:numId="7" w16cid:durableId="1938174901">
    <w:abstractNumId w:val="13"/>
  </w:num>
  <w:num w:numId="8" w16cid:durableId="1010789447">
    <w:abstractNumId w:val="20"/>
  </w:num>
  <w:num w:numId="9" w16cid:durableId="1737389821">
    <w:abstractNumId w:val="5"/>
  </w:num>
  <w:num w:numId="10" w16cid:durableId="1447776064">
    <w:abstractNumId w:val="19"/>
  </w:num>
  <w:num w:numId="11" w16cid:durableId="851913883">
    <w:abstractNumId w:val="3"/>
  </w:num>
  <w:num w:numId="12" w16cid:durableId="436751017">
    <w:abstractNumId w:val="1"/>
  </w:num>
  <w:num w:numId="13" w16cid:durableId="1745293240">
    <w:abstractNumId w:val="12"/>
  </w:num>
  <w:num w:numId="14" w16cid:durableId="701515028">
    <w:abstractNumId w:val="18"/>
  </w:num>
  <w:num w:numId="15" w16cid:durableId="270666518">
    <w:abstractNumId w:val="11"/>
  </w:num>
  <w:num w:numId="16" w16cid:durableId="326522939">
    <w:abstractNumId w:val="6"/>
  </w:num>
  <w:num w:numId="17" w16cid:durableId="526141841">
    <w:abstractNumId w:val="15"/>
  </w:num>
  <w:num w:numId="18" w16cid:durableId="672029456">
    <w:abstractNumId w:val="8"/>
  </w:num>
  <w:num w:numId="19" w16cid:durableId="41515345">
    <w:abstractNumId w:val="0"/>
  </w:num>
  <w:num w:numId="20" w16cid:durableId="742070176">
    <w:abstractNumId w:val="7"/>
  </w:num>
  <w:num w:numId="21" w16cid:durableId="10979909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733"/>
    <w:rsid w:val="00000B1B"/>
    <w:rsid w:val="00005AD7"/>
    <w:rsid w:val="0001028A"/>
    <w:rsid w:val="000202F5"/>
    <w:rsid w:val="00021EBA"/>
    <w:rsid w:val="00043A61"/>
    <w:rsid w:val="00060B00"/>
    <w:rsid w:val="00061103"/>
    <w:rsid w:val="0007478B"/>
    <w:rsid w:val="000C4257"/>
    <w:rsid w:val="000D5FF3"/>
    <w:rsid w:val="000E5E40"/>
    <w:rsid w:val="000F591F"/>
    <w:rsid w:val="00113B47"/>
    <w:rsid w:val="001437D2"/>
    <w:rsid w:val="00144E4A"/>
    <w:rsid w:val="00171720"/>
    <w:rsid w:val="00173324"/>
    <w:rsid w:val="00173E19"/>
    <w:rsid w:val="00174A70"/>
    <w:rsid w:val="00174C55"/>
    <w:rsid w:val="001805E0"/>
    <w:rsid w:val="001A1DA5"/>
    <w:rsid w:val="001A2B44"/>
    <w:rsid w:val="001A7DEB"/>
    <w:rsid w:val="001C39D1"/>
    <w:rsid w:val="001C71AB"/>
    <w:rsid w:val="001D37E8"/>
    <w:rsid w:val="001D38A7"/>
    <w:rsid w:val="001E7AE3"/>
    <w:rsid w:val="001E7C47"/>
    <w:rsid w:val="002027A5"/>
    <w:rsid w:val="00217728"/>
    <w:rsid w:val="00227F37"/>
    <w:rsid w:val="002354BD"/>
    <w:rsid w:val="00247E5A"/>
    <w:rsid w:val="00250D1C"/>
    <w:rsid w:val="00255E8D"/>
    <w:rsid w:val="00274482"/>
    <w:rsid w:val="00283F8F"/>
    <w:rsid w:val="0029152B"/>
    <w:rsid w:val="0029722D"/>
    <w:rsid w:val="002D0B26"/>
    <w:rsid w:val="002D0D63"/>
    <w:rsid w:val="002E3090"/>
    <w:rsid w:val="002F0B4E"/>
    <w:rsid w:val="002F532F"/>
    <w:rsid w:val="00300316"/>
    <w:rsid w:val="00301973"/>
    <w:rsid w:val="00310116"/>
    <w:rsid w:val="00315F9F"/>
    <w:rsid w:val="00316509"/>
    <w:rsid w:val="003375C5"/>
    <w:rsid w:val="003510DD"/>
    <w:rsid w:val="00370394"/>
    <w:rsid w:val="003738EA"/>
    <w:rsid w:val="00375DDA"/>
    <w:rsid w:val="003859A4"/>
    <w:rsid w:val="003A2AA3"/>
    <w:rsid w:val="003A3140"/>
    <w:rsid w:val="003A59BE"/>
    <w:rsid w:val="003B0B4F"/>
    <w:rsid w:val="003B39C0"/>
    <w:rsid w:val="003B5DEE"/>
    <w:rsid w:val="003C1241"/>
    <w:rsid w:val="003D6060"/>
    <w:rsid w:val="003E37F1"/>
    <w:rsid w:val="003E4E3E"/>
    <w:rsid w:val="003F5059"/>
    <w:rsid w:val="003F6B0B"/>
    <w:rsid w:val="00420833"/>
    <w:rsid w:val="00422C31"/>
    <w:rsid w:val="00432B99"/>
    <w:rsid w:val="00441C75"/>
    <w:rsid w:val="00444C72"/>
    <w:rsid w:val="004556FD"/>
    <w:rsid w:val="00460184"/>
    <w:rsid w:val="00470F10"/>
    <w:rsid w:val="00474C4E"/>
    <w:rsid w:val="00477FDF"/>
    <w:rsid w:val="0048266E"/>
    <w:rsid w:val="00487ED6"/>
    <w:rsid w:val="004B4271"/>
    <w:rsid w:val="004B788B"/>
    <w:rsid w:val="004F063B"/>
    <w:rsid w:val="00512A40"/>
    <w:rsid w:val="00513737"/>
    <w:rsid w:val="005159AA"/>
    <w:rsid w:val="00534AEA"/>
    <w:rsid w:val="005365F1"/>
    <w:rsid w:val="00540763"/>
    <w:rsid w:val="00555B99"/>
    <w:rsid w:val="00574C03"/>
    <w:rsid w:val="005C6EDE"/>
    <w:rsid w:val="005D009D"/>
    <w:rsid w:val="005D0B47"/>
    <w:rsid w:val="005D319F"/>
    <w:rsid w:val="005E46F2"/>
    <w:rsid w:val="005F392E"/>
    <w:rsid w:val="005F41D6"/>
    <w:rsid w:val="00600CAD"/>
    <w:rsid w:val="006162C7"/>
    <w:rsid w:val="00617717"/>
    <w:rsid w:val="00633413"/>
    <w:rsid w:val="00636762"/>
    <w:rsid w:val="006554C8"/>
    <w:rsid w:val="00663AB9"/>
    <w:rsid w:val="006741D0"/>
    <w:rsid w:val="00674366"/>
    <w:rsid w:val="006859D5"/>
    <w:rsid w:val="00692BA5"/>
    <w:rsid w:val="006A303C"/>
    <w:rsid w:val="006A49EA"/>
    <w:rsid w:val="006A5049"/>
    <w:rsid w:val="006A5D15"/>
    <w:rsid w:val="006D2EB4"/>
    <w:rsid w:val="006D329B"/>
    <w:rsid w:val="006F6A16"/>
    <w:rsid w:val="007070F7"/>
    <w:rsid w:val="00707640"/>
    <w:rsid w:val="00711606"/>
    <w:rsid w:val="00720571"/>
    <w:rsid w:val="0072173E"/>
    <w:rsid w:val="007237B8"/>
    <w:rsid w:val="00727BB6"/>
    <w:rsid w:val="00730933"/>
    <w:rsid w:val="00733A03"/>
    <w:rsid w:val="007536E3"/>
    <w:rsid w:val="00760734"/>
    <w:rsid w:val="00764048"/>
    <w:rsid w:val="00767250"/>
    <w:rsid w:val="0077328A"/>
    <w:rsid w:val="00782715"/>
    <w:rsid w:val="00786FCF"/>
    <w:rsid w:val="0079130C"/>
    <w:rsid w:val="00791FE0"/>
    <w:rsid w:val="00794903"/>
    <w:rsid w:val="007A39D6"/>
    <w:rsid w:val="007C3226"/>
    <w:rsid w:val="007D1692"/>
    <w:rsid w:val="007D3F89"/>
    <w:rsid w:val="007D7DCC"/>
    <w:rsid w:val="007E503C"/>
    <w:rsid w:val="007E66D1"/>
    <w:rsid w:val="007F2AD5"/>
    <w:rsid w:val="00813DD6"/>
    <w:rsid w:val="008141D2"/>
    <w:rsid w:val="00855323"/>
    <w:rsid w:val="00860DF7"/>
    <w:rsid w:val="008715A7"/>
    <w:rsid w:val="008775A5"/>
    <w:rsid w:val="008776BF"/>
    <w:rsid w:val="00891DFC"/>
    <w:rsid w:val="00892F8B"/>
    <w:rsid w:val="008A2709"/>
    <w:rsid w:val="008A324F"/>
    <w:rsid w:val="008A67B2"/>
    <w:rsid w:val="008B1791"/>
    <w:rsid w:val="008B6998"/>
    <w:rsid w:val="008C5C1F"/>
    <w:rsid w:val="008D217D"/>
    <w:rsid w:val="008D6310"/>
    <w:rsid w:val="008D6D22"/>
    <w:rsid w:val="008F70F2"/>
    <w:rsid w:val="009002BB"/>
    <w:rsid w:val="00914D99"/>
    <w:rsid w:val="00916B6D"/>
    <w:rsid w:val="00920681"/>
    <w:rsid w:val="00926256"/>
    <w:rsid w:val="00932201"/>
    <w:rsid w:val="00940015"/>
    <w:rsid w:val="0094547E"/>
    <w:rsid w:val="009814D3"/>
    <w:rsid w:val="00983E16"/>
    <w:rsid w:val="009958B1"/>
    <w:rsid w:val="009B4294"/>
    <w:rsid w:val="009B45A1"/>
    <w:rsid w:val="009B4A1A"/>
    <w:rsid w:val="009B4FC7"/>
    <w:rsid w:val="009E221E"/>
    <w:rsid w:val="009E3365"/>
    <w:rsid w:val="009E5AD1"/>
    <w:rsid w:val="009E5F61"/>
    <w:rsid w:val="00A02782"/>
    <w:rsid w:val="00A04D8E"/>
    <w:rsid w:val="00A10423"/>
    <w:rsid w:val="00A10B1C"/>
    <w:rsid w:val="00A20437"/>
    <w:rsid w:val="00A23B43"/>
    <w:rsid w:val="00A259CE"/>
    <w:rsid w:val="00A25F97"/>
    <w:rsid w:val="00A317F9"/>
    <w:rsid w:val="00A448E9"/>
    <w:rsid w:val="00A56EA2"/>
    <w:rsid w:val="00A635AE"/>
    <w:rsid w:val="00A72829"/>
    <w:rsid w:val="00A829CD"/>
    <w:rsid w:val="00A84BB9"/>
    <w:rsid w:val="00A9627A"/>
    <w:rsid w:val="00A96C94"/>
    <w:rsid w:val="00AB08A8"/>
    <w:rsid w:val="00AB40E2"/>
    <w:rsid w:val="00AB4D1B"/>
    <w:rsid w:val="00AB7BA2"/>
    <w:rsid w:val="00AC74E4"/>
    <w:rsid w:val="00AD32B8"/>
    <w:rsid w:val="00AE07DC"/>
    <w:rsid w:val="00AE07F2"/>
    <w:rsid w:val="00AE4857"/>
    <w:rsid w:val="00AF0B3A"/>
    <w:rsid w:val="00B0532A"/>
    <w:rsid w:val="00B10733"/>
    <w:rsid w:val="00B11025"/>
    <w:rsid w:val="00B12ADB"/>
    <w:rsid w:val="00B324AF"/>
    <w:rsid w:val="00B54891"/>
    <w:rsid w:val="00B54977"/>
    <w:rsid w:val="00B61894"/>
    <w:rsid w:val="00B63518"/>
    <w:rsid w:val="00B803C1"/>
    <w:rsid w:val="00B81A2D"/>
    <w:rsid w:val="00B855DF"/>
    <w:rsid w:val="00B95A39"/>
    <w:rsid w:val="00BB711C"/>
    <w:rsid w:val="00BD1E8B"/>
    <w:rsid w:val="00BD2424"/>
    <w:rsid w:val="00BD6B4B"/>
    <w:rsid w:val="00BD7C7B"/>
    <w:rsid w:val="00BE209F"/>
    <w:rsid w:val="00BE2C06"/>
    <w:rsid w:val="00BF0AF5"/>
    <w:rsid w:val="00BF6CB6"/>
    <w:rsid w:val="00C10E0B"/>
    <w:rsid w:val="00C20F54"/>
    <w:rsid w:val="00C34DAD"/>
    <w:rsid w:val="00C40B19"/>
    <w:rsid w:val="00C4744F"/>
    <w:rsid w:val="00C47902"/>
    <w:rsid w:val="00C55854"/>
    <w:rsid w:val="00C61BD8"/>
    <w:rsid w:val="00C707AF"/>
    <w:rsid w:val="00C80654"/>
    <w:rsid w:val="00C81060"/>
    <w:rsid w:val="00C97437"/>
    <w:rsid w:val="00CA235F"/>
    <w:rsid w:val="00CA66CD"/>
    <w:rsid w:val="00CB3FA1"/>
    <w:rsid w:val="00CC0B03"/>
    <w:rsid w:val="00CE35E8"/>
    <w:rsid w:val="00CE61D4"/>
    <w:rsid w:val="00CF06EE"/>
    <w:rsid w:val="00D04C03"/>
    <w:rsid w:val="00D17CA9"/>
    <w:rsid w:val="00D247CE"/>
    <w:rsid w:val="00D31ADD"/>
    <w:rsid w:val="00D3289E"/>
    <w:rsid w:val="00D5777A"/>
    <w:rsid w:val="00D603D7"/>
    <w:rsid w:val="00D6738E"/>
    <w:rsid w:val="00D6752B"/>
    <w:rsid w:val="00D827CA"/>
    <w:rsid w:val="00D82F76"/>
    <w:rsid w:val="00DB18B8"/>
    <w:rsid w:val="00DB639F"/>
    <w:rsid w:val="00DC2BCB"/>
    <w:rsid w:val="00DC5F45"/>
    <w:rsid w:val="00DD0AE1"/>
    <w:rsid w:val="00DD245F"/>
    <w:rsid w:val="00DD47B2"/>
    <w:rsid w:val="00E01048"/>
    <w:rsid w:val="00E352AF"/>
    <w:rsid w:val="00E4496B"/>
    <w:rsid w:val="00E52A68"/>
    <w:rsid w:val="00E64039"/>
    <w:rsid w:val="00E70434"/>
    <w:rsid w:val="00E80849"/>
    <w:rsid w:val="00E84EA4"/>
    <w:rsid w:val="00E8659C"/>
    <w:rsid w:val="00E93954"/>
    <w:rsid w:val="00E94F0C"/>
    <w:rsid w:val="00E95AAC"/>
    <w:rsid w:val="00EA05B0"/>
    <w:rsid w:val="00EA0A2D"/>
    <w:rsid w:val="00EA2AE5"/>
    <w:rsid w:val="00EA52F4"/>
    <w:rsid w:val="00EC04BD"/>
    <w:rsid w:val="00EC3626"/>
    <w:rsid w:val="00EC4450"/>
    <w:rsid w:val="00EC5C11"/>
    <w:rsid w:val="00ED741F"/>
    <w:rsid w:val="00EE3831"/>
    <w:rsid w:val="00EE4F1D"/>
    <w:rsid w:val="00EF421E"/>
    <w:rsid w:val="00EF49FF"/>
    <w:rsid w:val="00F0030B"/>
    <w:rsid w:val="00F062A0"/>
    <w:rsid w:val="00F44F98"/>
    <w:rsid w:val="00F53539"/>
    <w:rsid w:val="00F5651A"/>
    <w:rsid w:val="00F71216"/>
    <w:rsid w:val="00F760F0"/>
    <w:rsid w:val="00F81C47"/>
    <w:rsid w:val="00F820F3"/>
    <w:rsid w:val="00F86E23"/>
    <w:rsid w:val="00FA7315"/>
    <w:rsid w:val="00FB01EC"/>
    <w:rsid w:val="00FB7DF7"/>
    <w:rsid w:val="00FD2FC3"/>
    <w:rsid w:val="00FD52F7"/>
    <w:rsid w:val="00FE0B8E"/>
    <w:rsid w:val="00FE34F3"/>
    <w:rsid w:val="00FF0824"/>
    <w:rsid w:val="0ABABEDA"/>
    <w:rsid w:val="10E5096F"/>
    <w:rsid w:val="1D31FAD8"/>
    <w:rsid w:val="27FB1B31"/>
    <w:rsid w:val="3FBAD555"/>
    <w:rsid w:val="43362319"/>
    <w:rsid w:val="49EF8590"/>
    <w:rsid w:val="5F0CA3C4"/>
    <w:rsid w:val="62ADC894"/>
    <w:rsid w:val="6C9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A8C70"/>
  <w15:chartTrackingRefBased/>
  <w15:docId w15:val="{352FF6B9-ACB3-48F7-97EC-9178000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7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7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BB6"/>
  </w:style>
  <w:style w:type="paragraph" w:styleId="Footer">
    <w:name w:val="footer"/>
    <w:basedOn w:val="Normal"/>
    <w:link w:val="FooterChar"/>
    <w:uiPriority w:val="99"/>
    <w:unhideWhenUsed/>
    <w:rsid w:val="00727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BB6"/>
  </w:style>
  <w:style w:type="table" w:styleId="TableGrid">
    <w:name w:val="Table Grid"/>
    <w:basedOn w:val="TableNormal"/>
    <w:uiPriority w:val="39"/>
    <w:rsid w:val="00FA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15"/>
    <w:rPr>
      <w:color w:val="0070C0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2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5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833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833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3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CC0B03"/>
  </w:style>
  <w:style w:type="character" w:customStyle="1" w:styleId="spellingerror">
    <w:name w:val="spellingerror"/>
    <w:basedOn w:val="DefaultParagraphFont"/>
    <w:rsid w:val="00EE4F1D"/>
  </w:style>
  <w:style w:type="paragraph" w:customStyle="1" w:styleId="paragraph">
    <w:name w:val="paragraph"/>
    <w:basedOn w:val="Normal"/>
    <w:rsid w:val="00AB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AB7BA2"/>
  </w:style>
  <w:style w:type="character" w:customStyle="1" w:styleId="scxw11753339">
    <w:name w:val="scxw11753339"/>
    <w:basedOn w:val="DefaultParagraphFont"/>
    <w:rsid w:val="001C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PowerPoint_Presentation.pptx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0070C0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FF9BEAFBD9B548B6ACDE5DF7E3DFD8" ma:contentTypeVersion="19" ma:contentTypeDescription="Create a new document." ma:contentTypeScope="" ma:versionID="513ac38e75e8e706cf45c808c0ff6a2c">
  <xsd:schema xmlns:xsd="http://www.w3.org/2001/XMLSchema" xmlns:xs="http://www.w3.org/2001/XMLSchema" xmlns:p="http://schemas.microsoft.com/office/2006/metadata/properties" xmlns:ns2="7b0832f7-d2e9-4461-9c94-e09d570d84fc" xmlns:ns3="a2b916de-b7d3-408a-b514-ad93e6949b80" xmlns:ns4="2792ae6a-e171-4967-875e-31b26a08d6d7" targetNamespace="http://schemas.microsoft.com/office/2006/metadata/properties" ma:root="true" ma:fieldsID="f53418cf4027857c4e5ce8cc3950603e" ns2:_="" ns3:_="" ns4:_="">
    <xsd:import namespace="7b0832f7-d2e9-4461-9c94-e09d570d84fc"/>
    <xsd:import namespace="a2b916de-b7d3-408a-b514-ad93e6949b80"/>
    <xsd:import namespace="2792ae6a-e171-4967-875e-31b26a08d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32f7-d2e9-4461-9c94-e09d570d8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d83deb-14c4-4b13-989d-9744ddeec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916de-b7d3-408a-b514-ad93e6949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2ae6a-e171-4967-875e-31b26a08d6d7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cc9be3-a976-485d-916d-322fc7d76aaf}" ma:internalName="TaxCatchAll" ma:showField="CatchAllData" ma:web="2792ae6a-e171-4967-875e-31b26a08d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32f7-d2e9-4461-9c94-e09d570d84fc">
      <Terms xmlns="http://schemas.microsoft.com/office/infopath/2007/PartnerControls"/>
    </lcf76f155ced4ddcb4097134ff3c332f>
    <TaxCatchAll xmlns="2792ae6a-e171-4967-875e-31b26a08d6d7" xsi:nil="true"/>
    <_Flow_SignoffStatus xmlns="7b0832f7-d2e9-4461-9c94-e09d570d84fc" xsi:nil="true"/>
  </documentManagement>
</p:properties>
</file>

<file path=customXml/itemProps1.xml><?xml version="1.0" encoding="utf-8"?>
<ds:datastoreItem xmlns:ds="http://schemas.openxmlformats.org/officeDocument/2006/customXml" ds:itemID="{D1BDE85A-928B-4CC6-A1FD-F1A83CF9F0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49EA6-C897-4CEA-B014-FF970E225C8A}"/>
</file>

<file path=customXml/itemProps3.xml><?xml version="1.0" encoding="utf-8"?>
<ds:datastoreItem xmlns:ds="http://schemas.openxmlformats.org/officeDocument/2006/customXml" ds:itemID="{6BB362A9-E4FA-423B-9459-06E5495FDC90}">
  <ds:schemaRefs>
    <ds:schemaRef ds:uri="http://schemas.microsoft.com/office/2006/metadata/properties"/>
    <ds:schemaRef ds:uri="http://schemas.microsoft.com/office/infopath/2007/PartnerControls"/>
    <ds:schemaRef ds:uri="7b0832f7-d2e9-4461-9c94-e09d570d84fc"/>
    <ds:schemaRef ds:uri="2792ae6a-e171-4967-875e-31b26a08d6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SCVO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Farrugia</dc:creator>
  <cp:keywords/>
  <dc:description/>
  <cp:lastModifiedBy>Calum Carlyle</cp:lastModifiedBy>
  <cp:revision>2</cp:revision>
  <dcterms:created xsi:type="dcterms:W3CDTF">2025-01-23T11:52:00Z</dcterms:created>
  <dcterms:modified xsi:type="dcterms:W3CDTF">2025-01-23T11:52:00Z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0x0101005AFF9BEAFBD9B548B6ACDE5DF7E3DFD8</vt:lpwstr>
  </property>
  <property fmtid="{D5CDD505-2E9C-101B-9397-08002B2CF9AE}" pid="3" name="MediaServiceImageTags">
    <vt:lpwstr/>
  </property>
</Properties>
</file>